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896" w:rsidRPr="00EC68B8" w:rsidRDefault="003D0993" w:rsidP="00EC68B8">
      <w:pPr>
        <w:spacing w:after="0" w:line="276" w:lineRule="auto"/>
        <w:jc w:val="both"/>
        <w:rPr>
          <w:rFonts w:ascii="Arial" w:hAnsi="Arial" w:cs="Arial"/>
          <w:sz w:val="24"/>
          <w:szCs w:val="24"/>
        </w:rPr>
      </w:pPr>
      <w:bookmarkStart w:id="0" w:name="_GoBack"/>
      <w:bookmarkEnd w:id="0"/>
      <w:r w:rsidRPr="00EC68B8">
        <w:rPr>
          <w:rFonts w:ascii="Arial" w:hAnsi="Arial" w:cs="Arial"/>
          <w:b/>
          <w:sz w:val="24"/>
          <w:szCs w:val="24"/>
        </w:rPr>
        <w:t xml:space="preserve">TÍTULO DE LA </w:t>
      </w:r>
      <w:r w:rsidR="00717B4C">
        <w:rPr>
          <w:rFonts w:ascii="Arial" w:hAnsi="Arial" w:cs="Arial"/>
          <w:b/>
          <w:sz w:val="24"/>
          <w:szCs w:val="24"/>
        </w:rPr>
        <w:t>ACTIVIDAD DE CAPACITACIÓN.</w:t>
      </w:r>
      <w:r w:rsidRPr="00EC68B8">
        <w:rPr>
          <w:rFonts w:ascii="Arial" w:hAnsi="Arial" w:cs="Arial"/>
          <w:b/>
          <w:sz w:val="24"/>
          <w:szCs w:val="24"/>
        </w:rPr>
        <w:t xml:space="preserve">                                                                                                                                                                                           </w:t>
      </w:r>
    </w:p>
    <w:p w:rsidR="00BA11AA" w:rsidRDefault="00D128AC" w:rsidP="00EC68B8">
      <w:pPr>
        <w:spacing w:after="0" w:line="276" w:lineRule="auto"/>
        <w:jc w:val="both"/>
        <w:rPr>
          <w:rFonts w:ascii="Arial" w:hAnsi="Arial" w:cs="Arial"/>
          <w:sz w:val="24"/>
          <w:szCs w:val="24"/>
        </w:rPr>
      </w:pPr>
      <w:r>
        <w:rPr>
          <w:rFonts w:ascii="Arial" w:hAnsi="Arial" w:cs="Arial"/>
          <w:sz w:val="24"/>
          <w:szCs w:val="24"/>
        </w:rPr>
        <w:t xml:space="preserve">Lineamientos generales para la puesta a disposición de personas u objetos. </w:t>
      </w:r>
    </w:p>
    <w:p w:rsidR="00D128AC" w:rsidRDefault="00D128AC" w:rsidP="00EC68B8">
      <w:pPr>
        <w:spacing w:after="0" w:line="276" w:lineRule="auto"/>
        <w:jc w:val="both"/>
        <w:rPr>
          <w:rFonts w:ascii="Arial" w:hAnsi="Arial" w:cs="Arial"/>
          <w:sz w:val="24"/>
          <w:szCs w:val="24"/>
        </w:rPr>
      </w:pPr>
    </w:p>
    <w:p w:rsidR="00717B4C" w:rsidRPr="00EC68B8" w:rsidRDefault="00717B4C" w:rsidP="00EC68B8">
      <w:pPr>
        <w:spacing w:after="0" w:line="276" w:lineRule="auto"/>
        <w:jc w:val="both"/>
        <w:rPr>
          <w:rFonts w:ascii="Arial" w:hAnsi="Arial" w:cs="Arial"/>
          <w:sz w:val="24"/>
          <w:szCs w:val="24"/>
        </w:rPr>
      </w:pPr>
    </w:p>
    <w:p w:rsidR="00E87896" w:rsidRPr="00EC68B8" w:rsidRDefault="003D0993" w:rsidP="00EC68B8">
      <w:pPr>
        <w:spacing w:after="0" w:line="276" w:lineRule="auto"/>
        <w:jc w:val="both"/>
        <w:rPr>
          <w:rFonts w:ascii="Arial" w:hAnsi="Arial" w:cs="Arial"/>
          <w:b/>
          <w:sz w:val="24"/>
          <w:szCs w:val="24"/>
        </w:rPr>
      </w:pPr>
      <w:r w:rsidRPr="00EC68B8">
        <w:rPr>
          <w:rFonts w:ascii="Arial" w:hAnsi="Arial" w:cs="Arial"/>
          <w:b/>
          <w:sz w:val="24"/>
          <w:szCs w:val="24"/>
        </w:rPr>
        <w:t>PONENTE</w:t>
      </w:r>
    </w:p>
    <w:p w:rsidR="00E21EBB" w:rsidRPr="00EC68B8" w:rsidRDefault="00E21EBB" w:rsidP="00EC68B8">
      <w:pPr>
        <w:spacing w:after="0" w:line="276" w:lineRule="auto"/>
        <w:jc w:val="both"/>
        <w:rPr>
          <w:rFonts w:ascii="Arial" w:hAnsi="Arial" w:cs="Arial"/>
          <w:sz w:val="24"/>
          <w:szCs w:val="24"/>
        </w:rPr>
      </w:pPr>
      <w:r w:rsidRPr="00EC68B8">
        <w:rPr>
          <w:rFonts w:ascii="Arial" w:hAnsi="Arial" w:cs="Arial"/>
          <w:sz w:val="24"/>
          <w:szCs w:val="24"/>
        </w:rPr>
        <w:t>Lic.</w:t>
      </w:r>
      <w:r w:rsidR="00D128AC">
        <w:rPr>
          <w:rFonts w:ascii="Arial" w:hAnsi="Arial" w:cs="Arial"/>
          <w:sz w:val="24"/>
          <w:szCs w:val="24"/>
        </w:rPr>
        <w:t xml:space="preserve"> María Guadalupe Cristina Vega Ramírez, Subdirectora de Capacitación a Servidores Públicos, adscrita</w:t>
      </w:r>
      <w:r w:rsidRPr="00EC68B8">
        <w:rPr>
          <w:rFonts w:ascii="Arial" w:hAnsi="Arial" w:cs="Arial"/>
          <w:sz w:val="24"/>
          <w:szCs w:val="24"/>
        </w:rPr>
        <w:t xml:space="preserve"> a la Comisión Nacional de los Derechos Humanos. </w:t>
      </w:r>
    </w:p>
    <w:p w:rsidR="006673A8" w:rsidRDefault="006673A8" w:rsidP="00EC68B8">
      <w:pPr>
        <w:spacing w:after="0" w:line="276" w:lineRule="auto"/>
        <w:jc w:val="both"/>
        <w:rPr>
          <w:rFonts w:ascii="Arial" w:hAnsi="Arial" w:cs="Arial"/>
          <w:sz w:val="24"/>
          <w:szCs w:val="24"/>
        </w:rPr>
      </w:pPr>
    </w:p>
    <w:p w:rsidR="00717B4C" w:rsidRPr="00EC68B8" w:rsidRDefault="00717B4C" w:rsidP="00EC68B8">
      <w:pPr>
        <w:spacing w:after="0" w:line="276" w:lineRule="auto"/>
        <w:jc w:val="both"/>
        <w:rPr>
          <w:rFonts w:ascii="Arial" w:hAnsi="Arial" w:cs="Arial"/>
          <w:sz w:val="24"/>
          <w:szCs w:val="24"/>
        </w:rPr>
      </w:pPr>
    </w:p>
    <w:p w:rsidR="00E87896" w:rsidRPr="00EC68B8" w:rsidRDefault="003D0993" w:rsidP="00EC68B8">
      <w:pPr>
        <w:spacing w:after="0" w:line="276" w:lineRule="auto"/>
        <w:jc w:val="both"/>
        <w:rPr>
          <w:rFonts w:ascii="Arial" w:hAnsi="Arial" w:cs="Arial"/>
          <w:b/>
          <w:sz w:val="24"/>
          <w:szCs w:val="24"/>
        </w:rPr>
      </w:pPr>
      <w:r w:rsidRPr="00EC68B8">
        <w:rPr>
          <w:rFonts w:ascii="Arial" w:hAnsi="Arial" w:cs="Arial"/>
          <w:b/>
          <w:sz w:val="24"/>
          <w:szCs w:val="24"/>
        </w:rPr>
        <w:t>LUGAR</w:t>
      </w:r>
    </w:p>
    <w:p w:rsidR="00E87896" w:rsidRPr="00EC68B8" w:rsidRDefault="003D0993" w:rsidP="00EC68B8">
      <w:pPr>
        <w:spacing w:after="0" w:line="276" w:lineRule="auto"/>
        <w:jc w:val="both"/>
        <w:rPr>
          <w:rFonts w:ascii="Arial" w:hAnsi="Arial" w:cs="Arial"/>
          <w:sz w:val="24"/>
          <w:szCs w:val="24"/>
        </w:rPr>
      </w:pPr>
      <w:r w:rsidRPr="00EC68B8">
        <w:rPr>
          <w:rFonts w:ascii="Arial" w:hAnsi="Arial" w:cs="Arial"/>
          <w:sz w:val="24"/>
          <w:szCs w:val="24"/>
        </w:rPr>
        <w:t>Curso virtual a modo de videoconferencia a través de la plataforma virtual “TELMEX”.</w:t>
      </w:r>
    </w:p>
    <w:p w:rsidR="00E87896" w:rsidRDefault="00E87896" w:rsidP="00EC68B8">
      <w:pPr>
        <w:spacing w:after="0" w:line="276" w:lineRule="auto"/>
        <w:jc w:val="both"/>
        <w:rPr>
          <w:rFonts w:ascii="Arial" w:hAnsi="Arial" w:cs="Arial"/>
          <w:sz w:val="24"/>
          <w:szCs w:val="24"/>
        </w:rPr>
      </w:pPr>
    </w:p>
    <w:p w:rsidR="00717B4C" w:rsidRPr="00EC68B8" w:rsidRDefault="00717B4C" w:rsidP="00EC68B8">
      <w:pPr>
        <w:spacing w:after="0" w:line="276" w:lineRule="auto"/>
        <w:jc w:val="both"/>
        <w:rPr>
          <w:rFonts w:ascii="Arial" w:hAnsi="Arial" w:cs="Arial"/>
          <w:sz w:val="24"/>
          <w:szCs w:val="24"/>
        </w:rPr>
      </w:pPr>
    </w:p>
    <w:p w:rsidR="00E87896" w:rsidRPr="00EC68B8" w:rsidRDefault="003D0993" w:rsidP="00EC68B8">
      <w:pPr>
        <w:spacing w:after="0" w:line="276" w:lineRule="auto"/>
        <w:jc w:val="both"/>
        <w:rPr>
          <w:rFonts w:ascii="Arial" w:hAnsi="Arial" w:cs="Arial"/>
          <w:sz w:val="24"/>
          <w:szCs w:val="24"/>
        </w:rPr>
      </w:pPr>
      <w:r w:rsidRPr="00EC68B8">
        <w:rPr>
          <w:rFonts w:ascii="Arial" w:hAnsi="Arial" w:cs="Arial"/>
          <w:b/>
          <w:sz w:val="24"/>
          <w:szCs w:val="24"/>
        </w:rPr>
        <w:t>FECHA</w:t>
      </w:r>
    </w:p>
    <w:p w:rsidR="00E87896" w:rsidRPr="00EC68B8" w:rsidRDefault="00D128AC" w:rsidP="00EC68B8">
      <w:pPr>
        <w:spacing w:after="0" w:line="276" w:lineRule="auto"/>
        <w:jc w:val="both"/>
        <w:rPr>
          <w:rFonts w:ascii="Arial" w:hAnsi="Arial" w:cs="Arial"/>
          <w:sz w:val="24"/>
          <w:szCs w:val="24"/>
        </w:rPr>
      </w:pPr>
      <w:r>
        <w:rPr>
          <w:rFonts w:ascii="Arial" w:hAnsi="Arial" w:cs="Arial"/>
          <w:sz w:val="24"/>
          <w:szCs w:val="24"/>
        </w:rPr>
        <w:t>12</w:t>
      </w:r>
      <w:r w:rsidR="00E21EBB" w:rsidRPr="00EC68B8">
        <w:rPr>
          <w:rFonts w:ascii="Arial" w:hAnsi="Arial" w:cs="Arial"/>
          <w:sz w:val="24"/>
          <w:szCs w:val="24"/>
        </w:rPr>
        <w:t xml:space="preserve"> de noviembre</w:t>
      </w:r>
      <w:r w:rsidR="00BA11AA" w:rsidRPr="00EC68B8">
        <w:rPr>
          <w:rFonts w:ascii="Arial" w:hAnsi="Arial" w:cs="Arial"/>
          <w:sz w:val="24"/>
          <w:szCs w:val="24"/>
        </w:rPr>
        <w:t xml:space="preserve"> de 2020. </w:t>
      </w:r>
    </w:p>
    <w:p w:rsidR="00E87896" w:rsidRDefault="00E87896" w:rsidP="00EC68B8">
      <w:pPr>
        <w:spacing w:after="0" w:line="276" w:lineRule="auto"/>
        <w:jc w:val="both"/>
        <w:rPr>
          <w:rFonts w:ascii="Arial" w:hAnsi="Arial" w:cs="Arial"/>
          <w:sz w:val="24"/>
          <w:szCs w:val="24"/>
        </w:rPr>
      </w:pPr>
    </w:p>
    <w:p w:rsidR="00717B4C" w:rsidRPr="00EC68B8" w:rsidRDefault="00717B4C" w:rsidP="00EC68B8">
      <w:pPr>
        <w:spacing w:after="0" w:line="276" w:lineRule="auto"/>
        <w:jc w:val="both"/>
        <w:rPr>
          <w:rFonts w:ascii="Arial" w:hAnsi="Arial" w:cs="Arial"/>
          <w:sz w:val="24"/>
          <w:szCs w:val="24"/>
        </w:rPr>
      </w:pPr>
    </w:p>
    <w:p w:rsidR="00E87896" w:rsidRPr="00EC68B8" w:rsidRDefault="003D0993" w:rsidP="00EC68B8">
      <w:pPr>
        <w:spacing w:after="0" w:line="276" w:lineRule="auto"/>
        <w:jc w:val="both"/>
        <w:rPr>
          <w:rFonts w:ascii="Arial" w:hAnsi="Arial" w:cs="Arial"/>
          <w:sz w:val="24"/>
          <w:szCs w:val="24"/>
        </w:rPr>
      </w:pPr>
      <w:r w:rsidRPr="00EC68B8">
        <w:rPr>
          <w:rFonts w:ascii="Arial" w:hAnsi="Arial" w:cs="Arial"/>
          <w:b/>
          <w:sz w:val="24"/>
          <w:szCs w:val="24"/>
        </w:rPr>
        <w:t>HORARIO-DURACIÓN</w:t>
      </w:r>
    </w:p>
    <w:p w:rsidR="00E87896" w:rsidRPr="00EC68B8" w:rsidRDefault="003D0993" w:rsidP="00EC68B8">
      <w:pPr>
        <w:spacing w:after="0" w:line="276" w:lineRule="auto"/>
        <w:jc w:val="both"/>
        <w:rPr>
          <w:rFonts w:ascii="Arial" w:hAnsi="Arial" w:cs="Arial"/>
          <w:sz w:val="24"/>
          <w:szCs w:val="24"/>
        </w:rPr>
      </w:pPr>
      <w:r w:rsidRPr="00EC68B8">
        <w:rPr>
          <w:rFonts w:ascii="Arial" w:hAnsi="Arial" w:cs="Arial"/>
          <w:sz w:val="24"/>
          <w:szCs w:val="24"/>
        </w:rPr>
        <w:t>De 1</w:t>
      </w:r>
      <w:r w:rsidR="00BA11AA" w:rsidRPr="00EC68B8">
        <w:rPr>
          <w:rFonts w:ascii="Arial" w:hAnsi="Arial" w:cs="Arial"/>
          <w:sz w:val="24"/>
          <w:szCs w:val="24"/>
        </w:rPr>
        <w:t xml:space="preserve">3:00 a 15:00 horas. </w:t>
      </w:r>
    </w:p>
    <w:p w:rsidR="00E87896" w:rsidRDefault="00E87896" w:rsidP="00EC68B8">
      <w:pPr>
        <w:spacing w:after="0" w:line="276" w:lineRule="auto"/>
        <w:jc w:val="both"/>
        <w:rPr>
          <w:rFonts w:ascii="Arial" w:hAnsi="Arial" w:cs="Arial"/>
          <w:sz w:val="24"/>
          <w:szCs w:val="24"/>
        </w:rPr>
      </w:pPr>
    </w:p>
    <w:p w:rsidR="00717B4C" w:rsidRPr="00EC68B8" w:rsidRDefault="00717B4C" w:rsidP="00EC68B8">
      <w:pPr>
        <w:spacing w:after="0" w:line="276" w:lineRule="auto"/>
        <w:jc w:val="both"/>
        <w:rPr>
          <w:rFonts w:ascii="Arial" w:hAnsi="Arial" w:cs="Arial"/>
          <w:sz w:val="24"/>
          <w:szCs w:val="24"/>
        </w:rPr>
      </w:pPr>
    </w:p>
    <w:p w:rsidR="00E87896" w:rsidRPr="00EC68B8" w:rsidRDefault="003D0993" w:rsidP="00EC68B8">
      <w:pPr>
        <w:spacing w:after="0" w:line="276" w:lineRule="auto"/>
        <w:jc w:val="both"/>
        <w:rPr>
          <w:rFonts w:ascii="Arial" w:hAnsi="Arial" w:cs="Arial"/>
          <w:sz w:val="24"/>
          <w:szCs w:val="24"/>
        </w:rPr>
      </w:pPr>
      <w:r w:rsidRPr="00EC68B8">
        <w:rPr>
          <w:rFonts w:ascii="Arial" w:hAnsi="Arial" w:cs="Arial"/>
          <w:b/>
          <w:sz w:val="24"/>
          <w:szCs w:val="24"/>
        </w:rPr>
        <w:t>TIPO DE PÚBLICO AL QUE VA DIRIGIDO</w:t>
      </w:r>
    </w:p>
    <w:p w:rsidR="00E87896" w:rsidRPr="00EC68B8" w:rsidRDefault="00305FE2" w:rsidP="00EC68B8">
      <w:pPr>
        <w:spacing w:after="0" w:line="276" w:lineRule="auto"/>
        <w:jc w:val="both"/>
        <w:rPr>
          <w:rFonts w:ascii="Arial" w:hAnsi="Arial" w:cs="Arial"/>
          <w:sz w:val="24"/>
          <w:szCs w:val="24"/>
        </w:rPr>
      </w:pPr>
      <w:r w:rsidRPr="00EC68B8">
        <w:rPr>
          <w:rFonts w:ascii="Arial" w:hAnsi="Arial" w:cs="Arial"/>
          <w:sz w:val="24"/>
          <w:szCs w:val="24"/>
        </w:rPr>
        <w:t>Policías Ministeriales, Fiscales Regionales, Fiscales Especializados, Jurídico de la Fiscalía General del Estado de Veracru</w:t>
      </w:r>
      <w:r w:rsidR="00E21EBB" w:rsidRPr="00EC68B8">
        <w:rPr>
          <w:rFonts w:ascii="Arial" w:hAnsi="Arial" w:cs="Arial"/>
          <w:sz w:val="24"/>
          <w:szCs w:val="24"/>
        </w:rPr>
        <w:t>z, Fiscales de Auxiliares, etc.</w:t>
      </w:r>
    </w:p>
    <w:p w:rsidR="00A40325" w:rsidRPr="00EC68B8" w:rsidRDefault="00A40325" w:rsidP="00EC68B8">
      <w:pPr>
        <w:spacing w:after="0" w:line="276" w:lineRule="auto"/>
        <w:jc w:val="both"/>
        <w:rPr>
          <w:rFonts w:ascii="Arial" w:hAnsi="Arial" w:cs="Arial"/>
          <w:b/>
          <w:sz w:val="24"/>
          <w:szCs w:val="24"/>
        </w:rPr>
      </w:pPr>
      <w:r w:rsidRPr="00EC68B8">
        <w:rPr>
          <w:rFonts w:ascii="Arial" w:hAnsi="Arial" w:cs="Arial"/>
          <w:b/>
          <w:sz w:val="24"/>
          <w:szCs w:val="24"/>
        </w:rPr>
        <w:t xml:space="preserve"> </w:t>
      </w:r>
    </w:p>
    <w:p w:rsidR="00A40325" w:rsidRPr="00EC68B8" w:rsidRDefault="00A40325" w:rsidP="00EC68B8">
      <w:pPr>
        <w:spacing w:after="0" w:line="276" w:lineRule="auto"/>
        <w:jc w:val="both"/>
        <w:rPr>
          <w:rFonts w:ascii="Arial" w:hAnsi="Arial" w:cs="Arial"/>
          <w:b/>
          <w:sz w:val="24"/>
          <w:szCs w:val="24"/>
        </w:rPr>
      </w:pPr>
    </w:p>
    <w:p w:rsidR="00E87896" w:rsidRPr="00EC68B8" w:rsidRDefault="003D0993" w:rsidP="00EC68B8">
      <w:pPr>
        <w:spacing w:after="0" w:line="276" w:lineRule="auto"/>
        <w:jc w:val="both"/>
        <w:rPr>
          <w:rFonts w:ascii="Arial" w:hAnsi="Arial" w:cs="Arial"/>
          <w:b/>
          <w:sz w:val="24"/>
          <w:szCs w:val="24"/>
        </w:rPr>
      </w:pPr>
      <w:r w:rsidRPr="00EC68B8">
        <w:rPr>
          <w:rFonts w:ascii="Arial" w:hAnsi="Arial" w:cs="Arial"/>
          <w:b/>
          <w:sz w:val="24"/>
          <w:szCs w:val="24"/>
        </w:rPr>
        <w:t>OBJETIVO/DESCRIPCIÓN</w:t>
      </w:r>
    </w:p>
    <w:p w:rsidR="00E21EBB" w:rsidRDefault="00305FE2" w:rsidP="00EC68B8">
      <w:pPr>
        <w:spacing w:after="0" w:line="276" w:lineRule="auto"/>
        <w:jc w:val="both"/>
        <w:rPr>
          <w:rFonts w:ascii="Arial" w:hAnsi="Arial" w:cs="Arial"/>
          <w:sz w:val="24"/>
          <w:szCs w:val="24"/>
        </w:rPr>
      </w:pPr>
      <w:r w:rsidRPr="00EC68B8">
        <w:rPr>
          <w:rFonts w:ascii="Arial" w:hAnsi="Arial" w:cs="Arial"/>
          <w:sz w:val="24"/>
          <w:szCs w:val="24"/>
        </w:rPr>
        <w:t>Como parte del programa de capacitación 2020, y a fin de reforzar los conocimientos de las y los servidores públicos de la Fiscalía</w:t>
      </w:r>
      <w:r w:rsidR="00717B4C">
        <w:rPr>
          <w:rFonts w:ascii="Arial" w:hAnsi="Arial" w:cs="Arial"/>
          <w:sz w:val="24"/>
          <w:szCs w:val="24"/>
        </w:rPr>
        <w:t xml:space="preserve"> General del Estado de Veracruz</w:t>
      </w:r>
      <w:r w:rsidRPr="00EC68B8">
        <w:rPr>
          <w:rFonts w:ascii="Arial" w:hAnsi="Arial" w:cs="Arial"/>
          <w:sz w:val="24"/>
          <w:szCs w:val="24"/>
        </w:rPr>
        <w:t xml:space="preserve"> en materia de Derechos Humanos, la Comisión Nacional de los Derechos Humanos imparte a esta Institución div</w:t>
      </w:r>
      <w:r w:rsidR="00E21EBB" w:rsidRPr="00EC68B8">
        <w:rPr>
          <w:rFonts w:ascii="Arial" w:hAnsi="Arial" w:cs="Arial"/>
          <w:sz w:val="24"/>
          <w:szCs w:val="24"/>
        </w:rPr>
        <w:t xml:space="preserve">ersos cursos encaminados a mejorar el desempeño del participante en sus labores dentro de las instituciones de procuración de justicia. </w:t>
      </w:r>
    </w:p>
    <w:p w:rsidR="00717B4C" w:rsidRPr="00EC68B8" w:rsidRDefault="00717B4C" w:rsidP="00EC68B8">
      <w:pPr>
        <w:spacing w:after="0" w:line="276" w:lineRule="auto"/>
        <w:jc w:val="both"/>
        <w:rPr>
          <w:rFonts w:ascii="Arial" w:hAnsi="Arial" w:cs="Arial"/>
          <w:sz w:val="24"/>
          <w:szCs w:val="24"/>
        </w:rPr>
      </w:pPr>
    </w:p>
    <w:p w:rsidR="00D128AC" w:rsidRDefault="00D128AC" w:rsidP="00EC68B8">
      <w:pPr>
        <w:spacing w:line="276" w:lineRule="auto"/>
        <w:jc w:val="both"/>
        <w:rPr>
          <w:rFonts w:ascii="Arial" w:hAnsi="Arial" w:cs="Arial"/>
          <w:sz w:val="24"/>
          <w:szCs w:val="24"/>
        </w:rPr>
      </w:pPr>
      <w:r>
        <w:rPr>
          <w:rFonts w:ascii="Arial" w:hAnsi="Arial" w:cs="Arial"/>
          <w:sz w:val="24"/>
          <w:szCs w:val="24"/>
        </w:rPr>
        <w:t xml:space="preserve">Actualizar a las personas participantes acerca de la práctica de los servidores públicos encargados de hacer cumplir la Ley, atendiendo a las directrices establecidas desde abril de 2012, para efectos de llevar a cabo una detención, </w:t>
      </w:r>
      <w:r>
        <w:rPr>
          <w:rFonts w:ascii="Arial" w:hAnsi="Arial" w:cs="Arial"/>
          <w:sz w:val="24"/>
          <w:szCs w:val="24"/>
        </w:rPr>
        <w:lastRenderedPageBreak/>
        <w:t xml:space="preserve">puesta a disposición, cadena de custodia, teniendo como base el respeto irrestricto al marco legal nacional e internacional en ejercicio de sus funciones. </w:t>
      </w:r>
    </w:p>
    <w:p w:rsidR="00D128AC" w:rsidRPr="00180010" w:rsidRDefault="00D128AC" w:rsidP="00EC68B8">
      <w:pPr>
        <w:spacing w:line="276" w:lineRule="auto"/>
        <w:jc w:val="both"/>
        <w:rPr>
          <w:rFonts w:ascii="Arial" w:hAnsi="Arial" w:cs="Arial"/>
          <w:sz w:val="24"/>
          <w:szCs w:val="24"/>
        </w:rPr>
      </w:pPr>
    </w:p>
    <w:p w:rsidR="00E21EBB" w:rsidRPr="00EC68B8" w:rsidRDefault="00E21EBB" w:rsidP="00EC68B8">
      <w:pPr>
        <w:spacing w:line="276" w:lineRule="auto"/>
        <w:jc w:val="both"/>
        <w:rPr>
          <w:rFonts w:ascii="Arial" w:hAnsi="Arial" w:cs="Arial"/>
          <w:b/>
          <w:sz w:val="24"/>
          <w:szCs w:val="24"/>
        </w:rPr>
      </w:pPr>
      <w:r w:rsidRPr="00EC68B8">
        <w:rPr>
          <w:rFonts w:ascii="Arial" w:hAnsi="Arial" w:cs="Arial"/>
          <w:b/>
          <w:sz w:val="24"/>
          <w:szCs w:val="24"/>
        </w:rPr>
        <w:t>SÍNTESIS CURRICULAR DE</w:t>
      </w:r>
      <w:r w:rsidR="00D128AC">
        <w:rPr>
          <w:rFonts w:ascii="Arial" w:hAnsi="Arial" w:cs="Arial"/>
          <w:b/>
          <w:sz w:val="24"/>
          <w:szCs w:val="24"/>
        </w:rPr>
        <w:t xml:space="preserve"> </w:t>
      </w:r>
      <w:r w:rsidRPr="00EC68B8">
        <w:rPr>
          <w:rFonts w:ascii="Arial" w:hAnsi="Arial" w:cs="Arial"/>
          <w:b/>
          <w:sz w:val="24"/>
          <w:szCs w:val="24"/>
        </w:rPr>
        <w:t>L</w:t>
      </w:r>
      <w:r w:rsidR="00D128AC">
        <w:rPr>
          <w:rFonts w:ascii="Arial" w:hAnsi="Arial" w:cs="Arial"/>
          <w:b/>
          <w:sz w:val="24"/>
          <w:szCs w:val="24"/>
        </w:rPr>
        <w:t>A</w:t>
      </w:r>
      <w:r w:rsidRPr="00EC68B8">
        <w:rPr>
          <w:rFonts w:ascii="Arial" w:hAnsi="Arial" w:cs="Arial"/>
          <w:b/>
          <w:sz w:val="24"/>
          <w:szCs w:val="24"/>
        </w:rPr>
        <w:t xml:space="preserve"> PONENTE</w:t>
      </w:r>
    </w:p>
    <w:tbl>
      <w:tblPr>
        <w:tblW w:w="0" w:type="auto"/>
        <w:tblInd w:w="108" w:type="dxa"/>
        <w:tblLook w:val="00A0" w:firstRow="1" w:lastRow="0" w:firstColumn="1" w:lastColumn="0" w:noHBand="0" w:noVBand="0"/>
      </w:tblPr>
      <w:tblGrid>
        <w:gridCol w:w="540"/>
        <w:gridCol w:w="8330"/>
      </w:tblGrid>
      <w:tr w:rsidR="00611690" w:rsidTr="00A43CB4">
        <w:tc>
          <w:tcPr>
            <w:tcW w:w="540" w:type="dxa"/>
          </w:tcPr>
          <w:p w:rsidR="00611690" w:rsidRPr="00611690" w:rsidRDefault="00611690" w:rsidP="00A43CB4">
            <w:pPr>
              <w:jc w:val="both"/>
              <w:rPr>
                <w:rFonts w:ascii="Arial" w:hAnsi="Arial" w:cs="Arial"/>
                <w:b/>
                <w:sz w:val="24"/>
                <w:szCs w:val="24"/>
              </w:rPr>
            </w:pPr>
            <w:r w:rsidRPr="00611690">
              <w:rPr>
                <w:rFonts w:ascii="Arial" w:hAnsi="Arial" w:cs="Arial"/>
                <w:b/>
                <w:noProof/>
                <w:sz w:val="24"/>
                <w:szCs w:val="24"/>
                <w:lang w:eastAsia="es-MX"/>
              </w:rPr>
              <w:drawing>
                <wp:inline distT="0" distB="0" distL="0" distR="0" wp14:anchorId="00CD1D26" wp14:editId="57E3FDCA">
                  <wp:extent cx="163830" cy="212725"/>
                  <wp:effectExtent l="19050" t="0" r="7620" b="0"/>
                  <wp:docPr id="3" name="Imagen 3" descr="logn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neg"/>
                          <pic:cNvPicPr>
                            <a:picLocks noChangeAspect="1" noChangeArrowheads="1"/>
                          </pic:cNvPicPr>
                        </pic:nvPicPr>
                        <pic:blipFill>
                          <a:blip r:embed="rId8" cstate="print"/>
                          <a:srcRect/>
                          <a:stretch>
                            <a:fillRect/>
                          </a:stretch>
                        </pic:blipFill>
                        <pic:spPr bwMode="auto">
                          <a:xfrm>
                            <a:off x="0" y="0"/>
                            <a:ext cx="163830" cy="212725"/>
                          </a:xfrm>
                          <a:prstGeom prst="rect">
                            <a:avLst/>
                          </a:prstGeom>
                          <a:noFill/>
                          <a:ln w="9525">
                            <a:noFill/>
                            <a:miter lim="800000"/>
                            <a:headEnd/>
                            <a:tailEnd/>
                          </a:ln>
                        </pic:spPr>
                      </pic:pic>
                    </a:graphicData>
                  </a:graphic>
                </wp:inline>
              </w:drawing>
            </w:r>
          </w:p>
        </w:tc>
        <w:tc>
          <w:tcPr>
            <w:tcW w:w="8330" w:type="dxa"/>
          </w:tcPr>
          <w:p w:rsidR="00611690" w:rsidRPr="00611690" w:rsidRDefault="00611690" w:rsidP="00A43CB4">
            <w:pPr>
              <w:jc w:val="both"/>
              <w:rPr>
                <w:rFonts w:ascii="Arial" w:hAnsi="Arial" w:cs="Arial"/>
                <w:bCs/>
                <w:sz w:val="24"/>
                <w:szCs w:val="24"/>
              </w:rPr>
            </w:pPr>
            <w:r w:rsidRPr="00611690">
              <w:rPr>
                <w:rFonts w:ascii="Arial" w:hAnsi="Arial" w:cs="Arial"/>
                <w:bCs/>
                <w:sz w:val="24"/>
                <w:szCs w:val="24"/>
              </w:rPr>
              <w:t>Es licenciada en Derecho por la Universidad Nacional Autónoma de México.</w:t>
            </w:r>
          </w:p>
        </w:tc>
      </w:tr>
      <w:tr w:rsidR="00611690" w:rsidTr="00A43CB4">
        <w:tc>
          <w:tcPr>
            <w:tcW w:w="540" w:type="dxa"/>
          </w:tcPr>
          <w:p w:rsidR="00611690" w:rsidRPr="00611690" w:rsidRDefault="00611690" w:rsidP="00A43CB4">
            <w:pPr>
              <w:jc w:val="both"/>
              <w:rPr>
                <w:rFonts w:ascii="Arial" w:hAnsi="Arial" w:cs="Arial"/>
                <w:b/>
                <w:sz w:val="24"/>
                <w:szCs w:val="24"/>
              </w:rPr>
            </w:pPr>
            <w:r w:rsidRPr="00611690">
              <w:rPr>
                <w:rFonts w:ascii="Arial" w:hAnsi="Arial" w:cs="Arial"/>
                <w:b/>
                <w:noProof/>
                <w:sz w:val="24"/>
                <w:szCs w:val="24"/>
                <w:lang w:eastAsia="es-MX"/>
              </w:rPr>
              <w:drawing>
                <wp:inline distT="0" distB="0" distL="0" distR="0" wp14:anchorId="608C170F" wp14:editId="795D763C">
                  <wp:extent cx="168275" cy="218440"/>
                  <wp:effectExtent l="19050" t="0" r="3175" b="0"/>
                  <wp:docPr id="5" name="Imagen 5" descr="logn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neg"/>
                          <pic:cNvPicPr>
                            <a:picLocks noChangeAspect="1" noChangeArrowheads="1"/>
                          </pic:cNvPicPr>
                        </pic:nvPicPr>
                        <pic:blipFill>
                          <a:blip r:embed="rId9" cstate="print"/>
                          <a:srcRect/>
                          <a:stretch>
                            <a:fillRect/>
                          </a:stretch>
                        </pic:blipFill>
                        <pic:spPr bwMode="auto">
                          <a:xfrm>
                            <a:off x="0" y="0"/>
                            <a:ext cx="168275" cy="218440"/>
                          </a:xfrm>
                          <a:prstGeom prst="rect">
                            <a:avLst/>
                          </a:prstGeom>
                          <a:noFill/>
                          <a:ln w="9525">
                            <a:noFill/>
                            <a:miter lim="800000"/>
                            <a:headEnd/>
                            <a:tailEnd/>
                          </a:ln>
                        </pic:spPr>
                      </pic:pic>
                    </a:graphicData>
                  </a:graphic>
                </wp:inline>
              </w:drawing>
            </w:r>
          </w:p>
        </w:tc>
        <w:tc>
          <w:tcPr>
            <w:tcW w:w="8330" w:type="dxa"/>
          </w:tcPr>
          <w:p w:rsidR="00611690" w:rsidRPr="00611690" w:rsidRDefault="00611690" w:rsidP="00A43CB4">
            <w:pPr>
              <w:jc w:val="both"/>
              <w:rPr>
                <w:rFonts w:ascii="Arial" w:hAnsi="Arial" w:cs="Arial"/>
                <w:sz w:val="24"/>
                <w:szCs w:val="24"/>
              </w:rPr>
            </w:pPr>
            <w:r w:rsidRPr="00611690">
              <w:rPr>
                <w:rFonts w:ascii="Arial" w:hAnsi="Arial" w:cs="Arial"/>
                <w:bCs/>
                <w:sz w:val="24"/>
                <w:szCs w:val="24"/>
              </w:rPr>
              <w:t>Su tesis para obt</w:t>
            </w:r>
            <w:r>
              <w:rPr>
                <w:rFonts w:ascii="Arial" w:hAnsi="Arial" w:cs="Arial"/>
                <w:bCs/>
                <w:sz w:val="24"/>
                <w:szCs w:val="24"/>
              </w:rPr>
              <w:t xml:space="preserve">ener el grado de licenciatura, </w:t>
            </w:r>
            <w:r w:rsidRPr="00611690">
              <w:rPr>
                <w:rFonts w:ascii="Arial" w:hAnsi="Arial" w:cs="Arial"/>
                <w:bCs/>
                <w:sz w:val="24"/>
                <w:szCs w:val="24"/>
              </w:rPr>
              <w:t xml:space="preserve">se denomina </w:t>
            </w:r>
            <w:r w:rsidRPr="00611690">
              <w:rPr>
                <w:rFonts w:ascii="Arial" w:hAnsi="Arial" w:cs="Arial"/>
                <w:sz w:val="24"/>
                <w:szCs w:val="24"/>
              </w:rPr>
              <w:t xml:space="preserve">“Derechos Humanos, Seguridad Pública y los Organismos Públicos de Derechos Humanos”. </w:t>
            </w:r>
          </w:p>
          <w:p w:rsidR="00611690" w:rsidRPr="00611690" w:rsidRDefault="00611690" w:rsidP="00A43CB4">
            <w:pPr>
              <w:jc w:val="both"/>
              <w:rPr>
                <w:rFonts w:ascii="Arial" w:hAnsi="Arial" w:cs="Arial"/>
                <w:sz w:val="24"/>
                <w:szCs w:val="24"/>
              </w:rPr>
            </w:pPr>
            <w:r w:rsidRPr="00611690">
              <w:rPr>
                <w:rFonts w:ascii="Arial" w:hAnsi="Arial" w:cs="Arial"/>
                <w:bCs/>
                <w:sz w:val="24"/>
                <w:szCs w:val="24"/>
              </w:rPr>
              <w:t xml:space="preserve">En junio de 2008, concluyó </w:t>
            </w:r>
            <w:r w:rsidRPr="00611690">
              <w:rPr>
                <w:rFonts w:ascii="Arial" w:hAnsi="Arial" w:cs="Arial"/>
                <w:sz w:val="24"/>
                <w:szCs w:val="24"/>
              </w:rPr>
              <w:t xml:space="preserve">el </w:t>
            </w:r>
            <w:r w:rsidRPr="00611690">
              <w:rPr>
                <w:rFonts w:ascii="Arial" w:hAnsi="Arial" w:cs="Arial"/>
                <w:i/>
                <w:iCs/>
                <w:sz w:val="24"/>
                <w:szCs w:val="24"/>
                <w14:shadow w14:blurRad="50800" w14:dist="38100" w14:dir="2700000" w14:sx="100000" w14:sy="100000" w14:kx="0" w14:ky="0" w14:algn="tl">
                  <w14:srgbClr w14:val="000000">
                    <w14:alpha w14:val="60000"/>
                  </w14:srgbClr>
                </w14:shadow>
              </w:rPr>
              <w:t xml:space="preserve">Diplomado de </w:t>
            </w:r>
            <w:proofErr w:type="spellStart"/>
            <w:r w:rsidRPr="00611690">
              <w:rPr>
                <w:rFonts w:ascii="Arial" w:hAnsi="Arial" w:cs="Arial"/>
                <w:i/>
                <w:iCs/>
                <w:sz w:val="24"/>
                <w:szCs w:val="24"/>
                <w14:shadow w14:blurRad="50800" w14:dist="38100" w14:dir="2700000" w14:sx="100000" w14:sy="100000" w14:kx="0" w14:ky="0" w14:algn="tl">
                  <w14:srgbClr w14:val="000000">
                    <w14:alpha w14:val="60000"/>
                  </w14:srgbClr>
                </w14:shadow>
              </w:rPr>
              <w:t>Postítulo</w:t>
            </w:r>
            <w:proofErr w:type="spellEnd"/>
            <w:r w:rsidRPr="00611690">
              <w:rPr>
                <w:rFonts w:ascii="Arial" w:hAnsi="Arial" w:cs="Arial"/>
                <w:i/>
                <w:iCs/>
                <w:sz w:val="24"/>
                <w:szCs w:val="24"/>
                <w14:shadow w14:blurRad="50800" w14:dist="38100" w14:dir="2700000" w14:sx="100000" w14:sy="100000" w14:kx="0" w14:ky="0" w14:algn="tl">
                  <w14:srgbClr w14:val="000000">
                    <w14:alpha w14:val="60000"/>
                  </w14:srgbClr>
                </w14:shadow>
              </w:rPr>
              <w:t xml:space="preserve"> en Derechos Humanos y Mujeres: México</w:t>
            </w:r>
            <w:r w:rsidRPr="00611690">
              <w:rPr>
                <w:rFonts w:ascii="Arial" w:hAnsi="Arial" w:cs="Arial"/>
                <w:sz w:val="24"/>
                <w:szCs w:val="24"/>
              </w:rPr>
              <w:t xml:space="preserve">, organizado por el Centro de Derechos Humanos de la Facultad de Derecho de la Universidad de Chile, la Oficina en México del Alto Comisionado de las Naciones Unidas para los Derechos Humanos, el Fondo de Desarrollo de las Naciones Unidas para la Mujer y el Instituto Tecnológico Autónomo de México. En junio de 2016 culmina el </w:t>
            </w:r>
            <w:r w:rsidRPr="00611690">
              <w:rPr>
                <w:rFonts w:ascii="Arial" w:hAnsi="Arial" w:cs="Arial"/>
                <w:i/>
                <w:sz w:val="24"/>
                <w:szCs w:val="24"/>
                <w14:shadow w14:blurRad="50800" w14:dist="38100" w14:dir="2700000" w14:sx="100000" w14:sy="100000" w14:kx="0" w14:ky="0" w14:algn="tl">
                  <w14:srgbClr w14:val="000000">
                    <w14:alpha w14:val="60000"/>
                  </w14:srgbClr>
                </w14:shadow>
              </w:rPr>
              <w:t>Curso Teórico Práctico Para Servidores Públicos Que Atienden a Víctimas de la Violencia, en el marco del Seminario Violencia y Paz,</w:t>
            </w:r>
            <w:r w:rsidRPr="00611690">
              <w:rPr>
                <w:rFonts w:ascii="Arial" w:hAnsi="Arial" w:cs="Arial"/>
                <w:sz w:val="24"/>
                <w:szCs w:val="24"/>
              </w:rPr>
              <w:t xml:space="preserve"> impartido por El Colegio de México.</w:t>
            </w:r>
          </w:p>
        </w:tc>
      </w:tr>
      <w:tr w:rsidR="00611690" w:rsidTr="00A43CB4">
        <w:trPr>
          <w:trHeight w:val="5170"/>
        </w:trPr>
        <w:tc>
          <w:tcPr>
            <w:tcW w:w="540" w:type="dxa"/>
          </w:tcPr>
          <w:p w:rsidR="00611690" w:rsidRPr="00611690" w:rsidRDefault="00611690" w:rsidP="00A43CB4">
            <w:pPr>
              <w:jc w:val="both"/>
              <w:rPr>
                <w:rFonts w:ascii="Arial" w:hAnsi="Arial" w:cs="Arial"/>
                <w:b/>
                <w:sz w:val="24"/>
                <w:szCs w:val="24"/>
              </w:rPr>
            </w:pPr>
            <w:r w:rsidRPr="00611690">
              <w:rPr>
                <w:rFonts w:ascii="Arial" w:hAnsi="Arial" w:cs="Arial"/>
                <w:b/>
                <w:noProof/>
                <w:sz w:val="24"/>
                <w:szCs w:val="24"/>
                <w:lang w:eastAsia="es-MX"/>
              </w:rPr>
              <w:drawing>
                <wp:inline distT="0" distB="0" distL="0" distR="0" wp14:anchorId="118DC932" wp14:editId="076C3E23">
                  <wp:extent cx="168275" cy="218440"/>
                  <wp:effectExtent l="19050" t="0" r="3175" b="0"/>
                  <wp:docPr id="4" name="Imagen 4" descr="logn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neg"/>
                          <pic:cNvPicPr>
                            <a:picLocks noChangeAspect="1" noChangeArrowheads="1"/>
                          </pic:cNvPicPr>
                        </pic:nvPicPr>
                        <pic:blipFill>
                          <a:blip r:embed="rId9" cstate="print"/>
                          <a:srcRect/>
                          <a:stretch>
                            <a:fillRect/>
                          </a:stretch>
                        </pic:blipFill>
                        <pic:spPr bwMode="auto">
                          <a:xfrm>
                            <a:off x="0" y="0"/>
                            <a:ext cx="168275" cy="218440"/>
                          </a:xfrm>
                          <a:prstGeom prst="rect">
                            <a:avLst/>
                          </a:prstGeom>
                          <a:noFill/>
                          <a:ln w="9525">
                            <a:noFill/>
                            <a:miter lim="800000"/>
                            <a:headEnd/>
                            <a:tailEnd/>
                          </a:ln>
                        </pic:spPr>
                      </pic:pic>
                    </a:graphicData>
                  </a:graphic>
                </wp:inline>
              </w:drawing>
            </w:r>
          </w:p>
        </w:tc>
        <w:tc>
          <w:tcPr>
            <w:tcW w:w="8330" w:type="dxa"/>
          </w:tcPr>
          <w:p w:rsidR="00611690" w:rsidRPr="00611690" w:rsidRDefault="00611690" w:rsidP="00A43CB4">
            <w:pPr>
              <w:jc w:val="both"/>
              <w:rPr>
                <w:rFonts w:ascii="Arial" w:hAnsi="Arial" w:cs="Arial"/>
                <w:bCs/>
                <w:sz w:val="24"/>
                <w:szCs w:val="24"/>
              </w:rPr>
            </w:pPr>
            <w:r w:rsidRPr="00611690">
              <w:rPr>
                <w:rFonts w:ascii="Arial" w:hAnsi="Arial" w:cs="Arial"/>
                <w:bCs/>
                <w:sz w:val="24"/>
                <w:szCs w:val="24"/>
              </w:rPr>
              <w:t>Su trayectoria profesional ha sido desarrollada básicamente en la Comisión Nacional de los Derechos Humanos, institución a la que pertenece desde marzo de 1993; su campo de acción se ha cimentado en la capacitación y Educación en materia de Derechos Humanos con instituciones de la Administración Pública y Educación Superior con las cuales ha  coordinado y apoyado en la coordinación de varios Diplomados en materia de Derechos Humanos y Educación.</w:t>
            </w:r>
          </w:p>
          <w:p w:rsidR="00611690" w:rsidRPr="00611690" w:rsidRDefault="00611690" w:rsidP="00A43CB4">
            <w:pPr>
              <w:jc w:val="both"/>
              <w:rPr>
                <w:rFonts w:ascii="Arial" w:hAnsi="Arial" w:cs="Arial"/>
                <w:sz w:val="24"/>
                <w:szCs w:val="24"/>
              </w:rPr>
            </w:pPr>
            <w:r w:rsidRPr="00611690">
              <w:rPr>
                <w:rFonts w:ascii="Arial" w:hAnsi="Arial" w:cs="Arial"/>
                <w:sz w:val="24"/>
                <w:szCs w:val="24"/>
              </w:rPr>
              <w:t>En febrero de 2013, participa en coordinación con la Comisión Nacional de Seguridad  a través del Instituto de Capacitación Profesional del Órgano Desconcentrado Prevención y Readaptación Social de la impartición de talleres de Actualización en Derechos Humanos en el Complejo Penitenciario Islas Marías, actividades dirigidas a personal Administrativo y de custodia en este Complejo Penitenciario.</w:t>
            </w:r>
          </w:p>
          <w:p w:rsidR="00611690" w:rsidRPr="00611690" w:rsidRDefault="00611690" w:rsidP="00A43CB4">
            <w:pPr>
              <w:jc w:val="both"/>
              <w:rPr>
                <w:rFonts w:ascii="Arial" w:hAnsi="Arial" w:cs="Arial"/>
                <w:bCs/>
                <w:sz w:val="24"/>
                <w:szCs w:val="24"/>
              </w:rPr>
            </w:pPr>
            <w:r w:rsidRPr="00611690">
              <w:rPr>
                <w:rFonts w:ascii="Arial" w:hAnsi="Arial" w:cs="Arial"/>
                <w:sz w:val="24"/>
                <w:szCs w:val="24"/>
              </w:rPr>
              <w:t>Dentro de la institución, y en el marco del Servicio Civil de Carrera, ha sido instructora interna, impartiendo entre el personal los cursos de Inducción a la CNDH, Ética y Valores en el Servicio Público, Grupos en Situación de Vulnerabilidad y Educación en Derechos Humanos.</w:t>
            </w:r>
          </w:p>
        </w:tc>
      </w:tr>
      <w:tr w:rsidR="00611690" w:rsidTr="00A43CB4">
        <w:tc>
          <w:tcPr>
            <w:tcW w:w="540" w:type="dxa"/>
          </w:tcPr>
          <w:p w:rsidR="00611690" w:rsidRPr="00611690" w:rsidRDefault="00611690" w:rsidP="00A43CB4">
            <w:pPr>
              <w:jc w:val="both"/>
              <w:rPr>
                <w:rFonts w:ascii="Arial" w:hAnsi="Arial" w:cs="Arial"/>
                <w:b/>
                <w:sz w:val="24"/>
                <w:szCs w:val="24"/>
              </w:rPr>
            </w:pPr>
          </w:p>
        </w:tc>
        <w:tc>
          <w:tcPr>
            <w:tcW w:w="8330" w:type="dxa"/>
          </w:tcPr>
          <w:p w:rsidR="00611690" w:rsidRPr="00611690" w:rsidRDefault="00611690" w:rsidP="00A43CB4">
            <w:pPr>
              <w:jc w:val="both"/>
              <w:rPr>
                <w:rFonts w:ascii="Arial" w:hAnsi="Arial" w:cs="Arial"/>
                <w:bCs/>
                <w:sz w:val="24"/>
                <w:szCs w:val="24"/>
              </w:rPr>
            </w:pPr>
          </w:p>
        </w:tc>
      </w:tr>
      <w:tr w:rsidR="00611690" w:rsidTr="00A43CB4">
        <w:tc>
          <w:tcPr>
            <w:tcW w:w="540" w:type="dxa"/>
          </w:tcPr>
          <w:p w:rsidR="00611690" w:rsidRPr="00611690" w:rsidRDefault="00611690" w:rsidP="00A43CB4">
            <w:pPr>
              <w:jc w:val="both"/>
              <w:rPr>
                <w:rFonts w:ascii="Arial" w:hAnsi="Arial" w:cs="Arial"/>
                <w:b/>
                <w:sz w:val="24"/>
                <w:szCs w:val="24"/>
              </w:rPr>
            </w:pPr>
            <w:r w:rsidRPr="00611690">
              <w:rPr>
                <w:rFonts w:ascii="Arial" w:hAnsi="Arial" w:cs="Arial"/>
                <w:b/>
                <w:noProof/>
                <w:sz w:val="24"/>
                <w:szCs w:val="24"/>
                <w:lang w:eastAsia="es-MX"/>
              </w:rPr>
              <w:drawing>
                <wp:inline distT="0" distB="0" distL="0" distR="0" wp14:anchorId="5E987651" wp14:editId="19FFE4B5">
                  <wp:extent cx="168275" cy="218440"/>
                  <wp:effectExtent l="19050" t="0" r="3175" b="0"/>
                  <wp:docPr id="2" name="Imagen 2" descr="logn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neg"/>
                          <pic:cNvPicPr>
                            <a:picLocks noChangeAspect="1" noChangeArrowheads="1"/>
                          </pic:cNvPicPr>
                        </pic:nvPicPr>
                        <pic:blipFill>
                          <a:blip r:embed="rId9" cstate="print"/>
                          <a:srcRect/>
                          <a:stretch>
                            <a:fillRect/>
                          </a:stretch>
                        </pic:blipFill>
                        <pic:spPr bwMode="auto">
                          <a:xfrm>
                            <a:off x="0" y="0"/>
                            <a:ext cx="168275" cy="218440"/>
                          </a:xfrm>
                          <a:prstGeom prst="rect">
                            <a:avLst/>
                          </a:prstGeom>
                          <a:noFill/>
                          <a:ln w="9525">
                            <a:noFill/>
                            <a:miter lim="800000"/>
                            <a:headEnd/>
                            <a:tailEnd/>
                          </a:ln>
                        </pic:spPr>
                      </pic:pic>
                    </a:graphicData>
                  </a:graphic>
                </wp:inline>
              </w:drawing>
            </w:r>
          </w:p>
        </w:tc>
        <w:tc>
          <w:tcPr>
            <w:tcW w:w="8330" w:type="dxa"/>
          </w:tcPr>
          <w:p w:rsidR="00611690" w:rsidRPr="00611690" w:rsidRDefault="00611690" w:rsidP="00A43CB4">
            <w:pPr>
              <w:jc w:val="both"/>
              <w:rPr>
                <w:rFonts w:ascii="Arial" w:hAnsi="Arial" w:cs="Arial"/>
                <w:bCs/>
                <w:sz w:val="24"/>
                <w:szCs w:val="24"/>
              </w:rPr>
            </w:pPr>
            <w:r w:rsidRPr="00611690">
              <w:rPr>
                <w:rFonts w:ascii="Arial" w:hAnsi="Arial" w:cs="Arial"/>
                <w:bCs/>
                <w:sz w:val="24"/>
                <w:szCs w:val="24"/>
              </w:rPr>
              <w:t>Actualmente ocupa el cargo de Subdirectora de Capacitación a Servidores Públicos de la Dirección General Adjunta de Educación y Formación en Derechos Humanos de la Secretaría Técnica del Consejo Consultivo de la Comisión Nacional de los Derechos Humanos.</w:t>
            </w:r>
          </w:p>
        </w:tc>
      </w:tr>
    </w:tbl>
    <w:p w:rsidR="00180010" w:rsidRPr="00EC68B8" w:rsidRDefault="00180010" w:rsidP="00EC68B8">
      <w:pPr>
        <w:spacing w:line="276" w:lineRule="auto"/>
        <w:jc w:val="both"/>
        <w:rPr>
          <w:rFonts w:ascii="Arial" w:hAnsi="Arial" w:cs="Arial"/>
          <w:b/>
          <w:sz w:val="24"/>
          <w:szCs w:val="24"/>
        </w:rPr>
      </w:pPr>
    </w:p>
    <w:p w:rsidR="00E21EBB" w:rsidRPr="00EC68B8" w:rsidRDefault="00E21EBB" w:rsidP="00EC68B8">
      <w:pPr>
        <w:spacing w:line="276" w:lineRule="auto"/>
        <w:jc w:val="both"/>
        <w:rPr>
          <w:rFonts w:ascii="Arial" w:hAnsi="Arial" w:cs="Arial"/>
          <w:b/>
          <w:sz w:val="24"/>
          <w:szCs w:val="24"/>
        </w:rPr>
      </w:pPr>
      <w:r w:rsidRPr="00EC68B8">
        <w:rPr>
          <w:rFonts w:ascii="Arial" w:hAnsi="Arial" w:cs="Arial"/>
          <w:b/>
          <w:sz w:val="24"/>
          <w:szCs w:val="24"/>
        </w:rPr>
        <w:t>CONTENIDO TEMÁTICO</w:t>
      </w:r>
    </w:p>
    <w:p w:rsidR="00D128AC" w:rsidRDefault="00D128AC" w:rsidP="00920D06">
      <w:pPr>
        <w:pStyle w:val="Prrafodelista"/>
        <w:numPr>
          <w:ilvl w:val="0"/>
          <w:numId w:val="6"/>
        </w:numPr>
        <w:jc w:val="both"/>
        <w:rPr>
          <w:rFonts w:ascii="Arial" w:hAnsi="Arial" w:cs="Arial"/>
          <w:sz w:val="24"/>
          <w:szCs w:val="24"/>
        </w:rPr>
      </w:pPr>
      <w:r>
        <w:rPr>
          <w:rFonts w:ascii="Arial" w:hAnsi="Arial" w:cs="Arial"/>
          <w:sz w:val="24"/>
          <w:szCs w:val="24"/>
        </w:rPr>
        <w:t>¿Qué son los Derechos Humanos?</w:t>
      </w:r>
    </w:p>
    <w:p w:rsidR="00D128AC" w:rsidRDefault="00D128AC" w:rsidP="00D128AC">
      <w:pPr>
        <w:pStyle w:val="Prrafodelista"/>
        <w:numPr>
          <w:ilvl w:val="1"/>
          <w:numId w:val="6"/>
        </w:numPr>
        <w:jc w:val="both"/>
        <w:rPr>
          <w:rFonts w:ascii="Arial" w:hAnsi="Arial" w:cs="Arial"/>
          <w:sz w:val="24"/>
          <w:szCs w:val="24"/>
        </w:rPr>
      </w:pPr>
      <w:r w:rsidRPr="00D128AC">
        <w:rPr>
          <w:rFonts w:ascii="Arial" w:hAnsi="Arial" w:cs="Arial"/>
          <w:sz w:val="24"/>
          <w:szCs w:val="24"/>
        </w:rPr>
        <w:t>Dignidad Humana.</w:t>
      </w:r>
    </w:p>
    <w:p w:rsidR="00D128AC" w:rsidRDefault="00D128AC" w:rsidP="00D128AC">
      <w:pPr>
        <w:pStyle w:val="Prrafodelista"/>
        <w:numPr>
          <w:ilvl w:val="1"/>
          <w:numId w:val="6"/>
        </w:numPr>
        <w:jc w:val="both"/>
        <w:rPr>
          <w:rFonts w:ascii="Arial" w:hAnsi="Arial" w:cs="Arial"/>
          <w:sz w:val="24"/>
          <w:szCs w:val="24"/>
        </w:rPr>
      </w:pPr>
      <w:r>
        <w:rPr>
          <w:rFonts w:ascii="Arial" w:hAnsi="Arial" w:cs="Arial"/>
          <w:sz w:val="24"/>
          <w:szCs w:val="24"/>
        </w:rPr>
        <w:t xml:space="preserve">Principios de los Derechos Humanos. </w:t>
      </w:r>
    </w:p>
    <w:p w:rsidR="00D128AC" w:rsidRDefault="00D128AC" w:rsidP="00D128AC">
      <w:pPr>
        <w:pStyle w:val="Prrafodelista"/>
        <w:numPr>
          <w:ilvl w:val="1"/>
          <w:numId w:val="6"/>
        </w:numPr>
        <w:jc w:val="both"/>
        <w:rPr>
          <w:rFonts w:ascii="Arial" w:hAnsi="Arial" w:cs="Arial"/>
          <w:sz w:val="24"/>
          <w:szCs w:val="24"/>
        </w:rPr>
      </w:pPr>
      <w:r>
        <w:rPr>
          <w:rFonts w:ascii="Arial" w:hAnsi="Arial" w:cs="Arial"/>
          <w:sz w:val="24"/>
          <w:szCs w:val="24"/>
        </w:rPr>
        <w:t xml:space="preserve"> </w:t>
      </w:r>
      <w:r w:rsidRPr="00D128AC">
        <w:rPr>
          <w:rFonts w:ascii="Arial" w:hAnsi="Arial" w:cs="Arial"/>
          <w:sz w:val="24"/>
          <w:szCs w:val="24"/>
        </w:rPr>
        <w:t xml:space="preserve">Cultura en Derechos Humanos. </w:t>
      </w:r>
    </w:p>
    <w:p w:rsidR="00920D06" w:rsidRDefault="00D128AC" w:rsidP="00D128AC">
      <w:pPr>
        <w:pStyle w:val="Prrafodelista"/>
        <w:numPr>
          <w:ilvl w:val="1"/>
          <w:numId w:val="6"/>
        </w:numPr>
        <w:jc w:val="both"/>
        <w:rPr>
          <w:rFonts w:ascii="Arial" w:hAnsi="Arial" w:cs="Arial"/>
          <w:sz w:val="24"/>
          <w:szCs w:val="24"/>
        </w:rPr>
      </w:pPr>
      <w:r w:rsidRPr="00D128AC">
        <w:rPr>
          <w:rFonts w:ascii="Arial" w:hAnsi="Arial" w:cs="Arial"/>
          <w:sz w:val="24"/>
          <w:szCs w:val="24"/>
        </w:rPr>
        <w:t xml:space="preserve">Actitudes transgresoras a derechos humanos. </w:t>
      </w:r>
      <w:r w:rsidR="00920D06" w:rsidRPr="00D128AC">
        <w:rPr>
          <w:rFonts w:ascii="Arial" w:hAnsi="Arial" w:cs="Arial"/>
          <w:sz w:val="24"/>
          <w:szCs w:val="24"/>
        </w:rPr>
        <w:t xml:space="preserve"> </w:t>
      </w:r>
    </w:p>
    <w:p w:rsidR="00D128AC" w:rsidRDefault="00D128AC" w:rsidP="00D128AC">
      <w:pPr>
        <w:pStyle w:val="Prrafodelista"/>
        <w:numPr>
          <w:ilvl w:val="2"/>
          <w:numId w:val="6"/>
        </w:numPr>
        <w:jc w:val="both"/>
        <w:rPr>
          <w:rFonts w:ascii="Arial" w:hAnsi="Arial" w:cs="Arial"/>
          <w:sz w:val="24"/>
          <w:szCs w:val="24"/>
        </w:rPr>
      </w:pPr>
      <w:r>
        <w:rPr>
          <w:rFonts w:ascii="Arial" w:hAnsi="Arial" w:cs="Arial"/>
          <w:sz w:val="24"/>
          <w:szCs w:val="24"/>
        </w:rPr>
        <w:t xml:space="preserve">Condiciones transgresoras a los Derechos Humanos. </w:t>
      </w:r>
    </w:p>
    <w:p w:rsidR="00D128AC" w:rsidRDefault="00D128AC" w:rsidP="00D128AC">
      <w:pPr>
        <w:pStyle w:val="Prrafodelista"/>
        <w:numPr>
          <w:ilvl w:val="0"/>
          <w:numId w:val="6"/>
        </w:numPr>
        <w:jc w:val="both"/>
        <w:rPr>
          <w:rFonts w:ascii="Arial" w:hAnsi="Arial" w:cs="Arial"/>
          <w:sz w:val="24"/>
          <w:szCs w:val="24"/>
        </w:rPr>
      </w:pPr>
      <w:r>
        <w:rPr>
          <w:rFonts w:ascii="Arial" w:hAnsi="Arial" w:cs="Arial"/>
          <w:sz w:val="24"/>
          <w:szCs w:val="24"/>
        </w:rPr>
        <w:t>Factores que contribuyen al desarrollo de la vulnerabilidad y la discriminación.</w:t>
      </w:r>
    </w:p>
    <w:p w:rsidR="00D128AC" w:rsidRDefault="00D128AC" w:rsidP="00D128AC">
      <w:pPr>
        <w:pStyle w:val="Prrafodelista"/>
        <w:numPr>
          <w:ilvl w:val="1"/>
          <w:numId w:val="6"/>
        </w:numPr>
        <w:jc w:val="both"/>
        <w:rPr>
          <w:rFonts w:ascii="Arial" w:hAnsi="Arial" w:cs="Arial"/>
          <w:sz w:val="24"/>
          <w:szCs w:val="24"/>
        </w:rPr>
      </w:pPr>
      <w:r>
        <w:rPr>
          <w:rFonts w:ascii="Arial" w:hAnsi="Arial" w:cs="Arial"/>
          <w:sz w:val="24"/>
          <w:szCs w:val="24"/>
        </w:rPr>
        <w:t xml:space="preserve">Prejuicios. </w:t>
      </w:r>
    </w:p>
    <w:p w:rsidR="00D128AC" w:rsidRDefault="00611690" w:rsidP="00611690">
      <w:pPr>
        <w:pStyle w:val="Prrafodelista"/>
        <w:numPr>
          <w:ilvl w:val="0"/>
          <w:numId w:val="6"/>
        </w:numPr>
        <w:jc w:val="both"/>
        <w:rPr>
          <w:rFonts w:ascii="Arial" w:hAnsi="Arial" w:cs="Arial"/>
          <w:sz w:val="24"/>
          <w:szCs w:val="24"/>
        </w:rPr>
      </w:pPr>
      <w:r>
        <w:rPr>
          <w:rFonts w:ascii="Arial" w:hAnsi="Arial" w:cs="Arial"/>
          <w:sz w:val="24"/>
          <w:szCs w:val="24"/>
        </w:rPr>
        <w:t xml:space="preserve">La Seguridad Pública como derecho humano. </w:t>
      </w:r>
    </w:p>
    <w:p w:rsidR="00611690" w:rsidRDefault="00611690" w:rsidP="00611690">
      <w:pPr>
        <w:pStyle w:val="Prrafodelista"/>
        <w:numPr>
          <w:ilvl w:val="0"/>
          <w:numId w:val="6"/>
        </w:numPr>
        <w:jc w:val="both"/>
        <w:rPr>
          <w:rFonts w:ascii="Arial" w:hAnsi="Arial" w:cs="Arial"/>
          <w:sz w:val="24"/>
          <w:szCs w:val="24"/>
        </w:rPr>
      </w:pPr>
      <w:r>
        <w:rPr>
          <w:rFonts w:ascii="Arial" w:hAnsi="Arial" w:cs="Arial"/>
          <w:sz w:val="24"/>
          <w:szCs w:val="24"/>
        </w:rPr>
        <w:t xml:space="preserve">Marco jurídico. </w:t>
      </w:r>
    </w:p>
    <w:p w:rsidR="00611690" w:rsidRDefault="00611690" w:rsidP="00611690">
      <w:pPr>
        <w:pStyle w:val="Prrafodelista"/>
        <w:numPr>
          <w:ilvl w:val="0"/>
          <w:numId w:val="6"/>
        </w:numPr>
        <w:jc w:val="both"/>
        <w:rPr>
          <w:rFonts w:ascii="Arial" w:hAnsi="Arial" w:cs="Arial"/>
          <w:sz w:val="24"/>
          <w:szCs w:val="24"/>
        </w:rPr>
      </w:pPr>
      <w:r>
        <w:rPr>
          <w:rFonts w:ascii="Arial" w:hAnsi="Arial" w:cs="Arial"/>
          <w:sz w:val="24"/>
          <w:szCs w:val="24"/>
        </w:rPr>
        <w:t xml:space="preserve">Obligaciones de los integrantes de las instituciones de Seguridad Pública. </w:t>
      </w:r>
    </w:p>
    <w:p w:rsidR="00611690" w:rsidRDefault="00611690" w:rsidP="00611690">
      <w:pPr>
        <w:pStyle w:val="Prrafodelista"/>
        <w:numPr>
          <w:ilvl w:val="0"/>
          <w:numId w:val="6"/>
        </w:numPr>
        <w:jc w:val="both"/>
        <w:rPr>
          <w:rFonts w:ascii="Arial" w:hAnsi="Arial" w:cs="Arial"/>
          <w:sz w:val="24"/>
          <w:szCs w:val="24"/>
        </w:rPr>
      </w:pPr>
      <w:r>
        <w:rPr>
          <w:rFonts w:ascii="Arial" w:hAnsi="Arial" w:cs="Arial"/>
          <w:sz w:val="24"/>
          <w:szCs w:val="24"/>
        </w:rPr>
        <w:t xml:space="preserve">Ley General del Sistema Nacional de Seguridad Pública. </w:t>
      </w:r>
    </w:p>
    <w:p w:rsidR="00611690" w:rsidRDefault="00611690" w:rsidP="00611690">
      <w:pPr>
        <w:pStyle w:val="Prrafodelista"/>
        <w:numPr>
          <w:ilvl w:val="0"/>
          <w:numId w:val="6"/>
        </w:numPr>
        <w:jc w:val="both"/>
        <w:rPr>
          <w:rFonts w:ascii="Arial" w:hAnsi="Arial" w:cs="Arial"/>
          <w:sz w:val="24"/>
          <w:szCs w:val="24"/>
        </w:rPr>
      </w:pPr>
      <w:r>
        <w:rPr>
          <w:rFonts w:ascii="Arial" w:hAnsi="Arial" w:cs="Arial"/>
          <w:sz w:val="24"/>
          <w:szCs w:val="24"/>
        </w:rPr>
        <w:t xml:space="preserve">Acuerdo 05/2012, por el que se emiten Lineamientos Generales para Poner a Disposición de las Autoridades competentes a personas u objetos. </w:t>
      </w:r>
    </w:p>
    <w:p w:rsidR="00611690" w:rsidRDefault="00611690" w:rsidP="00611690">
      <w:pPr>
        <w:pStyle w:val="Prrafodelista"/>
        <w:numPr>
          <w:ilvl w:val="0"/>
          <w:numId w:val="6"/>
        </w:numPr>
        <w:jc w:val="both"/>
        <w:rPr>
          <w:rFonts w:ascii="Arial" w:hAnsi="Arial" w:cs="Arial"/>
          <w:sz w:val="24"/>
          <w:szCs w:val="24"/>
        </w:rPr>
      </w:pPr>
      <w:r>
        <w:rPr>
          <w:rFonts w:ascii="Arial" w:hAnsi="Arial" w:cs="Arial"/>
          <w:sz w:val="24"/>
          <w:szCs w:val="24"/>
        </w:rPr>
        <w:t xml:space="preserve">Ley Nacional sobre el Registro Nacional de Detenciones. </w:t>
      </w:r>
    </w:p>
    <w:p w:rsidR="00611690" w:rsidRDefault="00611690" w:rsidP="00611690">
      <w:pPr>
        <w:pStyle w:val="Prrafodelista"/>
        <w:numPr>
          <w:ilvl w:val="0"/>
          <w:numId w:val="6"/>
        </w:numPr>
        <w:jc w:val="both"/>
        <w:rPr>
          <w:rFonts w:ascii="Arial" w:hAnsi="Arial" w:cs="Arial"/>
          <w:sz w:val="24"/>
          <w:szCs w:val="24"/>
        </w:rPr>
      </w:pPr>
      <w:r>
        <w:rPr>
          <w:rFonts w:ascii="Arial" w:hAnsi="Arial" w:cs="Arial"/>
          <w:sz w:val="24"/>
          <w:szCs w:val="24"/>
        </w:rPr>
        <w:t xml:space="preserve">Protocolo Nacional de Actuación del Primer Respondiente. </w:t>
      </w:r>
    </w:p>
    <w:p w:rsidR="00611690" w:rsidRDefault="00611690" w:rsidP="00611690">
      <w:pPr>
        <w:pStyle w:val="Prrafodelista"/>
        <w:numPr>
          <w:ilvl w:val="0"/>
          <w:numId w:val="6"/>
        </w:numPr>
        <w:jc w:val="both"/>
        <w:rPr>
          <w:rFonts w:ascii="Arial" w:hAnsi="Arial" w:cs="Arial"/>
          <w:sz w:val="24"/>
          <w:szCs w:val="24"/>
        </w:rPr>
      </w:pPr>
      <w:r>
        <w:rPr>
          <w:rFonts w:ascii="Arial" w:hAnsi="Arial" w:cs="Arial"/>
          <w:sz w:val="24"/>
          <w:szCs w:val="24"/>
        </w:rPr>
        <w:t xml:space="preserve"> Acuerdo por el cual se emiten los lineamientos para el llenado, entrega, recepción, registro, resguardo y consulta del Informe Policial Homologado (21.02.20). </w:t>
      </w:r>
    </w:p>
    <w:p w:rsidR="00611690" w:rsidRDefault="00611690" w:rsidP="00611690">
      <w:pPr>
        <w:pStyle w:val="Prrafodelista"/>
        <w:numPr>
          <w:ilvl w:val="0"/>
          <w:numId w:val="6"/>
        </w:numPr>
        <w:jc w:val="both"/>
        <w:rPr>
          <w:rFonts w:ascii="Arial" w:hAnsi="Arial" w:cs="Arial"/>
          <w:sz w:val="24"/>
          <w:szCs w:val="24"/>
        </w:rPr>
      </w:pPr>
      <w:r>
        <w:rPr>
          <w:rFonts w:ascii="Arial" w:hAnsi="Arial" w:cs="Arial"/>
          <w:sz w:val="24"/>
          <w:szCs w:val="24"/>
        </w:rPr>
        <w:t xml:space="preserve"> Correctas actuaciones con el imputado cuando se encuentra bajo custodia. </w:t>
      </w:r>
    </w:p>
    <w:p w:rsidR="00611690" w:rsidRDefault="00611690" w:rsidP="00611690">
      <w:pPr>
        <w:pStyle w:val="Prrafodelista"/>
        <w:numPr>
          <w:ilvl w:val="0"/>
          <w:numId w:val="6"/>
        </w:numPr>
        <w:jc w:val="both"/>
        <w:rPr>
          <w:rFonts w:ascii="Arial" w:hAnsi="Arial" w:cs="Arial"/>
          <w:sz w:val="24"/>
          <w:szCs w:val="24"/>
        </w:rPr>
      </w:pPr>
      <w:r>
        <w:rPr>
          <w:rFonts w:ascii="Arial" w:hAnsi="Arial" w:cs="Arial"/>
          <w:sz w:val="24"/>
          <w:szCs w:val="24"/>
        </w:rPr>
        <w:t xml:space="preserve"> Deberes de las personas que llevan a cabo una detención. </w:t>
      </w:r>
    </w:p>
    <w:p w:rsidR="00611690" w:rsidRPr="00D128AC" w:rsidRDefault="00611690" w:rsidP="00611690">
      <w:pPr>
        <w:pStyle w:val="Prrafodelista"/>
        <w:jc w:val="both"/>
        <w:rPr>
          <w:rFonts w:ascii="Arial" w:hAnsi="Arial" w:cs="Arial"/>
          <w:sz w:val="24"/>
          <w:szCs w:val="24"/>
        </w:rPr>
      </w:pPr>
    </w:p>
    <w:sectPr w:rsidR="00611690" w:rsidRPr="00D128AC">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656" w:rsidRDefault="007D5656">
      <w:pPr>
        <w:spacing w:after="0" w:line="240" w:lineRule="auto"/>
      </w:pPr>
      <w:r>
        <w:separator/>
      </w:r>
    </w:p>
  </w:endnote>
  <w:endnote w:type="continuationSeparator" w:id="0">
    <w:p w:rsidR="007D5656" w:rsidRDefault="007D5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896" w:rsidRDefault="003D0993">
    <w:pPr>
      <w:pStyle w:val="Piedepgina"/>
      <w:ind w:left="-567"/>
      <w:jc w:val="both"/>
      <w:rPr>
        <w:sz w:val="18"/>
        <w:szCs w:val="18"/>
      </w:rPr>
    </w:pPr>
    <w:r>
      <w:rPr>
        <w:sz w:val="18"/>
        <w:szCs w:val="18"/>
      </w:rPr>
      <w:t>Calle Río Papaloapan No.16</w:t>
    </w:r>
  </w:p>
  <w:p w:rsidR="00E87896" w:rsidRDefault="003D0993">
    <w:pPr>
      <w:pStyle w:val="Piedepgina"/>
      <w:ind w:left="-567"/>
      <w:jc w:val="both"/>
      <w:rPr>
        <w:sz w:val="18"/>
        <w:szCs w:val="18"/>
      </w:rPr>
    </w:pPr>
    <w:r>
      <w:rPr>
        <w:sz w:val="18"/>
        <w:szCs w:val="18"/>
      </w:rPr>
      <w:t xml:space="preserve"> Col. Cuauhtémoc,</w:t>
    </w:r>
  </w:p>
  <w:p w:rsidR="00E87896" w:rsidRDefault="003D0993">
    <w:pPr>
      <w:pStyle w:val="Piedepgina"/>
      <w:ind w:left="-567"/>
      <w:jc w:val="both"/>
      <w:rPr>
        <w:sz w:val="18"/>
        <w:szCs w:val="18"/>
      </w:rPr>
    </w:pPr>
    <w:r>
      <w:rPr>
        <w:sz w:val="18"/>
        <w:szCs w:val="18"/>
      </w:rPr>
      <w:t>C.P. 91069, Tel. (228) 817.32.78.</w:t>
    </w:r>
  </w:p>
  <w:p w:rsidR="00E87896" w:rsidRDefault="003D0993">
    <w:pPr>
      <w:pStyle w:val="Piedepgina"/>
      <w:ind w:left="-567"/>
      <w:jc w:val="both"/>
      <w:rPr>
        <w:sz w:val="18"/>
        <w:szCs w:val="18"/>
      </w:rPr>
    </w:pPr>
    <w:r>
      <w:rPr>
        <w:sz w:val="18"/>
        <w:szCs w:val="18"/>
      </w:rPr>
      <w:t xml:space="preserve">Xalapa, Veracruz.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656" w:rsidRDefault="007D5656">
      <w:pPr>
        <w:spacing w:after="0" w:line="240" w:lineRule="auto"/>
      </w:pPr>
      <w:r>
        <w:separator/>
      </w:r>
    </w:p>
  </w:footnote>
  <w:footnote w:type="continuationSeparator" w:id="0">
    <w:p w:rsidR="007D5656" w:rsidRDefault="007D56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1AA" w:rsidRPr="0027163C" w:rsidRDefault="00BA11AA" w:rsidP="00BA11AA">
    <w:pPr>
      <w:pStyle w:val="Encabezado"/>
      <w:spacing w:line="360" w:lineRule="auto"/>
      <w:ind w:left="3181" w:hanging="3181"/>
      <w:jc w:val="right"/>
      <w:rPr>
        <w:rFonts w:ascii="Arial" w:hAnsi="Arial" w:cs="Arial"/>
        <w:color w:val="262626" w:themeColor="text1" w:themeTint="D9"/>
        <w:szCs w:val="20"/>
      </w:rPr>
    </w:pPr>
    <w:r>
      <w:rPr>
        <w:rFonts w:ascii="Arial" w:hAnsi="Arial" w:cs="Arial"/>
        <w:noProof/>
        <w:lang w:eastAsia="es-MX"/>
      </w:rPr>
      <w:drawing>
        <wp:anchor distT="0" distB="0" distL="114300" distR="114300" simplePos="0" relativeHeight="251659264" behindDoc="1" locked="0" layoutInCell="1" allowOverlap="1" wp14:anchorId="3DF7526A" wp14:editId="54217E84">
          <wp:simplePos x="0" y="0"/>
          <wp:positionH relativeFrom="page">
            <wp:posOffset>360045</wp:posOffset>
          </wp:positionH>
          <wp:positionV relativeFrom="page">
            <wp:posOffset>360045</wp:posOffset>
          </wp:positionV>
          <wp:extent cx="1692000" cy="781200"/>
          <wp:effectExtent l="0" t="0" r="3810" b="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iscalía oficial color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2000" cy="7812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color w:val="262626" w:themeColor="text1" w:themeTint="D9"/>
        <w:szCs w:val="20"/>
      </w:rPr>
      <w:t>Instituto de Formación Profesional</w:t>
    </w:r>
  </w:p>
  <w:p w:rsidR="00BA11AA" w:rsidRDefault="00BA11AA" w:rsidP="00BA11AA">
    <w:pPr>
      <w:pStyle w:val="Encabezado"/>
    </w:pPr>
  </w:p>
  <w:p w:rsidR="00BA11AA" w:rsidRDefault="00BA11AA" w:rsidP="00BA11AA">
    <w:pPr>
      <w:pStyle w:val="Encabezado"/>
    </w:pPr>
  </w:p>
  <w:p w:rsidR="00E87896" w:rsidRDefault="003D0993">
    <w:pPr>
      <w:pStyle w:val="Encabezado"/>
      <w:tabs>
        <w:tab w:val="clear" w:pos="4419"/>
        <w:tab w:val="clear" w:pos="8838"/>
        <w:tab w:val="left" w:pos="2730"/>
      </w:tabs>
      <w:rPr>
        <w:rFonts w:ascii="Arial" w:hAnsi="Arial" w:cs="Arial"/>
        <w:sz w:val="24"/>
      </w:rPr>
    </w:pPr>
    <w:r>
      <w:rPr>
        <w:rFonts w:ascii="Arial" w:hAnsi="Arial" w:cs="Arial"/>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C234FD"/>
    <w:multiLevelType w:val="hybridMultilevel"/>
    <w:tmpl w:val="48A448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9CC23E5"/>
    <w:multiLevelType w:val="hybridMultilevel"/>
    <w:tmpl w:val="62BA15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20E745B"/>
    <w:multiLevelType w:val="multilevel"/>
    <w:tmpl w:val="BE5A1D2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40B51B55"/>
    <w:multiLevelType w:val="hybridMultilevel"/>
    <w:tmpl w:val="72A0F4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3D20349"/>
    <w:multiLevelType w:val="hybridMultilevel"/>
    <w:tmpl w:val="4BF66F7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nsid w:val="5E9A1121"/>
    <w:multiLevelType w:val="multilevel"/>
    <w:tmpl w:val="8EF285E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nsid w:val="65C20321"/>
    <w:multiLevelType w:val="hybridMultilevel"/>
    <w:tmpl w:val="78EC86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729760A9"/>
    <w:multiLevelType w:val="hybridMultilevel"/>
    <w:tmpl w:val="A6C08B9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7"/>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7F9"/>
    <w:rsid w:val="00021F5A"/>
    <w:rsid w:val="00063F2B"/>
    <w:rsid w:val="0006648C"/>
    <w:rsid w:val="00075DD8"/>
    <w:rsid w:val="000B6EB1"/>
    <w:rsid w:val="000E7F4E"/>
    <w:rsid w:val="00123B71"/>
    <w:rsid w:val="00180010"/>
    <w:rsid w:val="00180D02"/>
    <w:rsid w:val="001825C2"/>
    <w:rsid w:val="00187C6A"/>
    <w:rsid w:val="001C1B4C"/>
    <w:rsid w:val="00270DDB"/>
    <w:rsid w:val="002840DA"/>
    <w:rsid w:val="0028541A"/>
    <w:rsid w:val="002A7DE0"/>
    <w:rsid w:val="002B2A85"/>
    <w:rsid w:val="002C642F"/>
    <w:rsid w:val="002F31E4"/>
    <w:rsid w:val="002F6EBB"/>
    <w:rsid w:val="00305FE2"/>
    <w:rsid w:val="00315C6B"/>
    <w:rsid w:val="00370EDA"/>
    <w:rsid w:val="00372E7D"/>
    <w:rsid w:val="003B007F"/>
    <w:rsid w:val="003D0993"/>
    <w:rsid w:val="00474B3A"/>
    <w:rsid w:val="004839C3"/>
    <w:rsid w:val="004D0430"/>
    <w:rsid w:val="004D717C"/>
    <w:rsid w:val="00596EBA"/>
    <w:rsid w:val="005A30F0"/>
    <w:rsid w:val="005A7D49"/>
    <w:rsid w:val="005F2344"/>
    <w:rsid w:val="00603EE7"/>
    <w:rsid w:val="00610B8C"/>
    <w:rsid w:val="00611690"/>
    <w:rsid w:val="006673A8"/>
    <w:rsid w:val="00695412"/>
    <w:rsid w:val="006E2866"/>
    <w:rsid w:val="006F140A"/>
    <w:rsid w:val="00714881"/>
    <w:rsid w:val="00715E0D"/>
    <w:rsid w:val="00717B4C"/>
    <w:rsid w:val="00725D89"/>
    <w:rsid w:val="007327CE"/>
    <w:rsid w:val="00754DA3"/>
    <w:rsid w:val="00782AE5"/>
    <w:rsid w:val="007D5656"/>
    <w:rsid w:val="00852850"/>
    <w:rsid w:val="008658CC"/>
    <w:rsid w:val="008C1FB1"/>
    <w:rsid w:val="008F510A"/>
    <w:rsid w:val="00920D06"/>
    <w:rsid w:val="009C267D"/>
    <w:rsid w:val="009C6676"/>
    <w:rsid w:val="009D2E5F"/>
    <w:rsid w:val="009E0D3E"/>
    <w:rsid w:val="00A04B41"/>
    <w:rsid w:val="00A30780"/>
    <w:rsid w:val="00A40325"/>
    <w:rsid w:val="00A51971"/>
    <w:rsid w:val="00A86352"/>
    <w:rsid w:val="00A872F8"/>
    <w:rsid w:val="00A95621"/>
    <w:rsid w:val="00B31202"/>
    <w:rsid w:val="00B40894"/>
    <w:rsid w:val="00B51FAA"/>
    <w:rsid w:val="00B80550"/>
    <w:rsid w:val="00B82E41"/>
    <w:rsid w:val="00BA11AA"/>
    <w:rsid w:val="00BB735C"/>
    <w:rsid w:val="00BC682D"/>
    <w:rsid w:val="00C03564"/>
    <w:rsid w:val="00C13428"/>
    <w:rsid w:val="00C524A6"/>
    <w:rsid w:val="00C71B14"/>
    <w:rsid w:val="00D128AC"/>
    <w:rsid w:val="00D13594"/>
    <w:rsid w:val="00D21F47"/>
    <w:rsid w:val="00DA616F"/>
    <w:rsid w:val="00DF0A7F"/>
    <w:rsid w:val="00DF0F92"/>
    <w:rsid w:val="00DF6273"/>
    <w:rsid w:val="00E04DBD"/>
    <w:rsid w:val="00E127F9"/>
    <w:rsid w:val="00E21EBB"/>
    <w:rsid w:val="00E32FEF"/>
    <w:rsid w:val="00E46A31"/>
    <w:rsid w:val="00E81095"/>
    <w:rsid w:val="00E87896"/>
    <w:rsid w:val="00E93D83"/>
    <w:rsid w:val="00EA2839"/>
    <w:rsid w:val="00EB5D20"/>
    <w:rsid w:val="00EB782A"/>
    <w:rsid w:val="00EC68B8"/>
    <w:rsid w:val="00ED6E1A"/>
    <w:rsid w:val="00F24E65"/>
    <w:rsid w:val="00F44258"/>
    <w:rsid w:val="00F44AA5"/>
    <w:rsid w:val="00F52E04"/>
    <w:rsid w:val="00F678EE"/>
    <w:rsid w:val="00F73E6F"/>
    <w:rsid w:val="00FA0D8A"/>
    <w:rsid w:val="00FF0D34"/>
    <w:rsid w:val="02E01F53"/>
    <w:rsid w:val="074742F5"/>
    <w:rsid w:val="217840AD"/>
    <w:rsid w:val="30F514AA"/>
    <w:rsid w:val="401A2562"/>
    <w:rsid w:val="4964750A"/>
    <w:rsid w:val="50D20123"/>
    <w:rsid w:val="52AA2B1E"/>
    <w:rsid w:val="54350B05"/>
    <w:rsid w:val="576548CD"/>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E90A7B-5C51-4393-BB30-F17F21BD7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Theme="minorHAnsi" w:eastAsiaTheme="minorHAnsi" w:hAnsiTheme="minorHAnsi" w:cstheme="minorBid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paragraph" w:styleId="Encabezado">
    <w:name w:val="header"/>
    <w:basedOn w:val="Normal"/>
    <w:link w:val="EncabezadoCar"/>
    <w:unhideWhenUsed/>
    <w:pPr>
      <w:tabs>
        <w:tab w:val="center" w:pos="4419"/>
        <w:tab w:val="right" w:pos="8838"/>
      </w:tabs>
      <w:spacing w:after="0" w:line="240" w:lineRule="auto"/>
    </w:pPr>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styleId="Hipervnculo">
    <w:name w:val="Hyperlink"/>
    <w:basedOn w:val="Fuentedeprrafopredeter"/>
    <w:uiPriority w:val="99"/>
    <w:unhideWhenUsed/>
    <w:rPr>
      <w:color w:val="0563C1" w:themeColor="hyperlink"/>
      <w:u w:val="single"/>
    </w:rPr>
  </w:style>
  <w:style w:type="table" w:styleId="Tablaconcuadrcula">
    <w:name w:val="Table Grid"/>
    <w:basedOn w:val="Tablanormal"/>
    <w:uiPriority w:val="39"/>
    <w:qFormat/>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cabezadoCar">
    <w:name w:val="Encabezado Car"/>
    <w:basedOn w:val="Fuentedeprrafopredeter"/>
    <w:link w:val="Encabezado"/>
  </w:style>
  <w:style w:type="character" w:customStyle="1" w:styleId="PiedepginaCar">
    <w:name w:val="Pie de página Car"/>
    <w:basedOn w:val="Fuentedeprrafopredeter"/>
    <w:link w:val="Piedepgina"/>
    <w:uiPriority w:val="99"/>
  </w:style>
  <w:style w:type="character" w:customStyle="1" w:styleId="TextodegloboCar">
    <w:name w:val="Texto de globo Car"/>
    <w:basedOn w:val="Fuentedeprrafopredeter"/>
    <w:link w:val="Textodeglobo"/>
    <w:uiPriority w:val="99"/>
    <w:semiHidden/>
    <w:qFormat/>
    <w:rPr>
      <w:rFonts w:ascii="Segoe UI" w:hAnsi="Segoe UI" w:cs="Segoe UI"/>
      <w:sz w:val="18"/>
      <w:szCs w:val="18"/>
    </w:rPr>
  </w:style>
  <w:style w:type="paragraph" w:styleId="Sinespaciado">
    <w:name w:val="No Spacing"/>
    <w:uiPriority w:val="1"/>
    <w:qFormat/>
    <w:pPr>
      <w:spacing w:after="0" w:line="240" w:lineRule="auto"/>
    </w:pPr>
    <w:rPr>
      <w:rFonts w:asciiTheme="minorHAnsi" w:eastAsiaTheme="minorEastAsia" w:hAnsiTheme="minorHAnsi" w:cstheme="minorBidi"/>
      <w:sz w:val="22"/>
      <w:szCs w:val="22"/>
    </w:rPr>
  </w:style>
  <w:style w:type="table" w:customStyle="1" w:styleId="Style10">
    <w:name w:val="_Style 10"/>
    <w:basedOn w:val="TableNormal"/>
    <w:pPr>
      <w:spacing w:after="0" w:line="240" w:lineRule="auto"/>
    </w:pPr>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paragraph" w:styleId="Prrafodelista">
    <w:name w:val="List Paragraph"/>
    <w:basedOn w:val="Normal"/>
    <w:uiPriority w:val="34"/>
    <w:qFormat/>
    <w:rsid w:val="007327CE"/>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762</Words>
  <Characters>4194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fge</cp:lastModifiedBy>
  <cp:revision>2</cp:revision>
  <cp:lastPrinted>2019-12-30T19:58:00Z</cp:lastPrinted>
  <dcterms:created xsi:type="dcterms:W3CDTF">2021-01-12T16:26:00Z</dcterms:created>
  <dcterms:modified xsi:type="dcterms:W3CDTF">2021-01-12T16:26:00Z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3082-11.2.0.9396</vt:lpwstr>
  </property>
</Properties>
</file>